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9EB" w:rsidRPr="00B62B65" w:rsidRDefault="000129EB" w:rsidP="00B62B65">
      <w:pPr>
        <w:spacing w:line="480" w:lineRule="auto"/>
        <w:jc w:val="both"/>
        <w:rPr>
          <w:rFonts w:ascii="Times New Roman" w:hAnsi="Times New Roman" w:cs="Times New Roman"/>
          <w:sz w:val="24"/>
          <w:szCs w:val="24"/>
        </w:rPr>
      </w:pPr>
    </w:p>
    <w:p w:rsidR="000129EB" w:rsidRPr="00B62B65" w:rsidRDefault="000129EB" w:rsidP="00B62B65">
      <w:pPr>
        <w:spacing w:line="480" w:lineRule="auto"/>
        <w:jc w:val="both"/>
        <w:rPr>
          <w:rFonts w:ascii="Times New Roman" w:hAnsi="Times New Roman" w:cs="Times New Roman"/>
          <w:sz w:val="24"/>
          <w:szCs w:val="24"/>
        </w:rPr>
      </w:pPr>
    </w:p>
    <w:p w:rsidR="000129EB" w:rsidRPr="00B62B65" w:rsidRDefault="000129EB" w:rsidP="00B62B65">
      <w:pPr>
        <w:spacing w:line="480" w:lineRule="auto"/>
        <w:jc w:val="both"/>
        <w:rPr>
          <w:rFonts w:ascii="Times New Roman" w:hAnsi="Times New Roman" w:cs="Times New Roman"/>
          <w:sz w:val="24"/>
          <w:szCs w:val="24"/>
        </w:rPr>
      </w:pPr>
    </w:p>
    <w:p w:rsidR="000129EB" w:rsidRPr="00B62B65" w:rsidRDefault="000129EB" w:rsidP="00B62B65">
      <w:pPr>
        <w:spacing w:line="480" w:lineRule="auto"/>
        <w:jc w:val="both"/>
        <w:rPr>
          <w:rFonts w:ascii="Times New Roman" w:hAnsi="Times New Roman" w:cs="Times New Roman"/>
          <w:sz w:val="24"/>
          <w:szCs w:val="24"/>
        </w:rPr>
      </w:pPr>
    </w:p>
    <w:p w:rsidR="000129EB" w:rsidRPr="00B62B65" w:rsidRDefault="000129EB" w:rsidP="00B62B65">
      <w:pPr>
        <w:spacing w:line="480" w:lineRule="auto"/>
        <w:jc w:val="center"/>
        <w:rPr>
          <w:rFonts w:ascii="Times New Roman" w:hAnsi="Times New Roman" w:cs="Times New Roman"/>
          <w:b/>
          <w:sz w:val="24"/>
          <w:szCs w:val="24"/>
        </w:rPr>
      </w:pPr>
      <w:r w:rsidRPr="00B62B65">
        <w:rPr>
          <w:rFonts w:ascii="Times New Roman" w:hAnsi="Times New Roman" w:cs="Times New Roman"/>
          <w:b/>
          <w:sz w:val="24"/>
          <w:szCs w:val="24"/>
        </w:rPr>
        <w:t>Protecting African Women's Rights</w:t>
      </w:r>
    </w:p>
    <w:p w:rsidR="000129EB" w:rsidRPr="00B62B65" w:rsidRDefault="000129EB" w:rsidP="00B62B65">
      <w:pPr>
        <w:spacing w:line="480" w:lineRule="auto"/>
        <w:jc w:val="center"/>
        <w:rPr>
          <w:rFonts w:ascii="Times New Roman" w:hAnsi="Times New Roman" w:cs="Times New Roman"/>
          <w:sz w:val="24"/>
          <w:szCs w:val="24"/>
        </w:rPr>
      </w:pPr>
    </w:p>
    <w:p w:rsidR="000129EB" w:rsidRPr="00B62B65" w:rsidRDefault="000129EB"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t>Student's Name</w:t>
      </w:r>
    </w:p>
    <w:p w:rsidR="000129EB" w:rsidRPr="00B62B65" w:rsidRDefault="000129EB"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t>Institution Affiliation</w:t>
      </w:r>
    </w:p>
    <w:p w:rsidR="000129EB" w:rsidRPr="00B62B65" w:rsidRDefault="000129EB"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t>Course</w:t>
      </w:r>
    </w:p>
    <w:p w:rsidR="000129EB" w:rsidRPr="00B62B65" w:rsidRDefault="000129EB"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t>Instructor's Name</w:t>
      </w:r>
    </w:p>
    <w:p w:rsidR="000129EB" w:rsidRPr="00B62B65" w:rsidRDefault="000129EB"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t>Date</w:t>
      </w:r>
    </w:p>
    <w:p w:rsidR="000129EB" w:rsidRPr="00B62B65" w:rsidRDefault="000129EB" w:rsidP="00B62B65">
      <w:pPr>
        <w:spacing w:line="480" w:lineRule="auto"/>
        <w:jc w:val="center"/>
        <w:rPr>
          <w:rFonts w:ascii="Times New Roman" w:hAnsi="Times New Roman" w:cs="Times New Roman"/>
          <w:sz w:val="24"/>
          <w:szCs w:val="24"/>
        </w:rPr>
      </w:pPr>
    </w:p>
    <w:p w:rsidR="006E682F" w:rsidRPr="00B62B65" w:rsidRDefault="006E682F" w:rsidP="00B62B65">
      <w:pPr>
        <w:spacing w:line="480" w:lineRule="auto"/>
        <w:jc w:val="center"/>
        <w:rPr>
          <w:rFonts w:ascii="Times New Roman" w:hAnsi="Times New Roman" w:cs="Times New Roman"/>
          <w:sz w:val="24"/>
          <w:szCs w:val="24"/>
        </w:rPr>
      </w:pPr>
      <w:r w:rsidRPr="00B62B65">
        <w:rPr>
          <w:rFonts w:ascii="Times New Roman" w:hAnsi="Times New Roman" w:cs="Times New Roman"/>
          <w:sz w:val="24"/>
          <w:szCs w:val="24"/>
        </w:rPr>
        <w:br w:type="page"/>
      </w:r>
    </w:p>
    <w:p w:rsidR="000129EB" w:rsidRPr="00B62B65" w:rsidRDefault="000129EB" w:rsidP="00B62B65">
      <w:pPr>
        <w:spacing w:line="480" w:lineRule="auto"/>
        <w:jc w:val="center"/>
        <w:rPr>
          <w:rFonts w:ascii="Times New Roman" w:hAnsi="Times New Roman" w:cs="Times New Roman"/>
          <w:b/>
          <w:sz w:val="24"/>
          <w:szCs w:val="24"/>
        </w:rPr>
      </w:pPr>
      <w:r w:rsidRPr="00B62B65">
        <w:rPr>
          <w:rFonts w:ascii="Times New Roman" w:hAnsi="Times New Roman" w:cs="Times New Roman"/>
          <w:b/>
          <w:sz w:val="24"/>
          <w:szCs w:val="24"/>
        </w:rPr>
        <w:lastRenderedPageBreak/>
        <w:t>Protecting African Women's Rights</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Gender equality and women's empowerment promote human development and health. Gender equality can only be achieved when men and women enjoy social-economic opportunities and rights, acquire equal healthcare and education, and participate in economic and political decision-making. Equal rights and opportunities for women are some of the basic principles of the United Nations (UN</w:t>
      </w:r>
      <w:r w:rsidR="00E418F8" w:rsidRPr="00B62B65">
        <w:rPr>
          <w:rFonts w:ascii="Times New Roman" w:hAnsi="Times New Roman" w:cs="Times New Roman"/>
          <w:sz w:val="24"/>
          <w:szCs w:val="24"/>
        </w:rPr>
        <w:t>, 2009</w:t>
      </w:r>
      <w:r w:rsidRPr="00B62B65">
        <w:rPr>
          <w:rFonts w:ascii="Times New Roman" w:hAnsi="Times New Roman" w:cs="Times New Roman"/>
          <w:sz w:val="24"/>
          <w:szCs w:val="24"/>
        </w:rPr>
        <w:t>). Despite regional diversity, African women still experience sexual discrimination, political marginalization, intimate violence, and economic deprivation. Global instruments and national legislation promotes African women by supporting rights for reproductive health, allowing them to participate in politics, and eliminate harmful and discriminatory practices.</w:t>
      </w:r>
    </w:p>
    <w:p w:rsidR="006E682F"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One of the most progressive and comprehensive women's rights instruments is the Protocol of African Charter (Maputo Protocol). The Protocol was adopted on 11th July 2003 by all African head of state</w:t>
      </w:r>
      <w:r w:rsidR="00936E80" w:rsidRPr="00B62B65">
        <w:rPr>
          <w:rFonts w:ascii="Times New Roman" w:hAnsi="Times New Roman" w:cs="Times New Roman"/>
          <w:sz w:val="24"/>
          <w:szCs w:val="24"/>
        </w:rPr>
        <w:t xml:space="preserve"> (African Union, 2003)</w:t>
      </w:r>
      <w:r w:rsidRPr="00B62B65">
        <w:rPr>
          <w:rFonts w:ascii="Times New Roman" w:hAnsi="Times New Roman" w:cs="Times New Roman"/>
          <w:sz w:val="24"/>
          <w:szCs w:val="24"/>
        </w:rPr>
        <w:t>. Article V of the Maputo Protocol explains the state's responsibilities to eliminate harmful practices. African states must take significant legislative to eradicate harmful practices like child marriage and female genital mutilation that violate women's rights</w:t>
      </w:r>
      <w:r w:rsidR="00EA3CAE">
        <w:rPr>
          <w:rFonts w:ascii="Times New Roman" w:hAnsi="Times New Roman" w:cs="Times New Roman"/>
          <w:sz w:val="24"/>
          <w:szCs w:val="24"/>
        </w:rPr>
        <w:t xml:space="preserve"> </w:t>
      </w:r>
      <w:r w:rsidR="00EA3CAE" w:rsidRPr="00B62B65">
        <w:rPr>
          <w:rFonts w:ascii="Times New Roman" w:hAnsi="Times New Roman" w:cs="Times New Roman"/>
          <w:sz w:val="24"/>
          <w:szCs w:val="24"/>
        </w:rPr>
        <w:t>(</w:t>
      </w:r>
      <w:proofErr w:type="spellStart"/>
      <w:r w:rsidR="00EA3CAE" w:rsidRPr="00B62B65">
        <w:rPr>
          <w:rFonts w:ascii="Times New Roman" w:hAnsi="Times New Roman" w:cs="Times New Roman"/>
          <w:sz w:val="24"/>
          <w:szCs w:val="24"/>
        </w:rPr>
        <w:t>Hodin</w:t>
      </w:r>
      <w:proofErr w:type="spellEnd"/>
      <w:r w:rsidR="00EA3CAE" w:rsidRPr="00B62B65">
        <w:rPr>
          <w:rFonts w:ascii="Times New Roman" w:hAnsi="Times New Roman" w:cs="Times New Roman"/>
          <w:sz w:val="24"/>
          <w:szCs w:val="24"/>
        </w:rPr>
        <w:t>, 2017)</w:t>
      </w:r>
      <w:r w:rsidRPr="00B62B65">
        <w:rPr>
          <w:rFonts w:ascii="Times New Roman" w:hAnsi="Times New Roman" w:cs="Times New Roman"/>
          <w:sz w:val="24"/>
          <w:szCs w:val="24"/>
        </w:rPr>
        <w:t xml:space="preserve">. According to this Protocol, states should develop legislative </w:t>
      </w:r>
      <w:r w:rsidR="00F52A5E" w:rsidRPr="00B62B65">
        <w:rPr>
          <w:rFonts w:ascii="Times New Roman" w:hAnsi="Times New Roman" w:cs="Times New Roman"/>
          <w:sz w:val="24"/>
          <w:szCs w:val="24"/>
        </w:rPr>
        <w:t>procedures</w:t>
      </w:r>
      <w:r w:rsidRPr="00B62B65">
        <w:rPr>
          <w:rFonts w:ascii="Times New Roman" w:hAnsi="Times New Roman" w:cs="Times New Roman"/>
          <w:sz w:val="24"/>
          <w:szCs w:val="24"/>
        </w:rPr>
        <w:t xml:space="preserve"> supported by </w:t>
      </w:r>
      <w:r w:rsidR="00F52A5E" w:rsidRPr="00B62B65">
        <w:rPr>
          <w:rFonts w:ascii="Times New Roman" w:hAnsi="Times New Roman" w:cs="Times New Roman"/>
          <w:sz w:val="24"/>
          <w:szCs w:val="24"/>
        </w:rPr>
        <w:t>agreements</w:t>
      </w:r>
      <w:r w:rsidRPr="00B62B65">
        <w:rPr>
          <w:rFonts w:ascii="Times New Roman" w:hAnsi="Times New Roman" w:cs="Times New Roman"/>
          <w:sz w:val="24"/>
          <w:szCs w:val="24"/>
        </w:rPr>
        <w:t xml:space="preserve"> on all forms of female genital scarific</w:t>
      </w:r>
      <w:r w:rsidR="00F52A5E" w:rsidRPr="00B62B65">
        <w:rPr>
          <w:rFonts w:ascii="Times New Roman" w:hAnsi="Times New Roman" w:cs="Times New Roman"/>
          <w:sz w:val="24"/>
          <w:szCs w:val="24"/>
        </w:rPr>
        <w:t>ation, mutilation, and medicaliz</w:t>
      </w:r>
      <w:r w:rsidRPr="00B62B65">
        <w:rPr>
          <w:rFonts w:ascii="Times New Roman" w:hAnsi="Times New Roman" w:cs="Times New Roman"/>
          <w:sz w:val="24"/>
          <w:szCs w:val="24"/>
        </w:rPr>
        <w:t xml:space="preserve">ation. Additionally, states should protect women vulnerable to harmful practices and other forms of </w:t>
      </w:r>
      <w:r w:rsidR="00F52A5E" w:rsidRPr="00B62B65">
        <w:rPr>
          <w:rFonts w:ascii="Times New Roman" w:hAnsi="Times New Roman" w:cs="Times New Roman"/>
          <w:sz w:val="24"/>
          <w:szCs w:val="24"/>
        </w:rPr>
        <w:t>exploitation</w:t>
      </w:r>
      <w:r w:rsidRPr="00B62B65">
        <w:rPr>
          <w:rFonts w:ascii="Times New Roman" w:hAnsi="Times New Roman" w:cs="Times New Roman"/>
          <w:sz w:val="24"/>
          <w:szCs w:val="24"/>
        </w:rPr>
        <w:t xml:space="preserve">, violence, and </w:t>
      </w:r>
      <w:r w:rsidR="00F52A5E" w:rsidRPr="00B62B65">
        <w:rPr>
          <w:rFonts w:ascii="Times New Roman" w:hAnsi="Times New Roman" w:cs="Times New Roman"/>
          <w:sz w:val="24"/>
          <w:szCs w:val="24"/>
        </w:rPr>
        <w:t>prejudice</w:t>
      </w:r>
      <w:r w:rsidR="00B62B65" w:rsidRPr="00B62B65">
        <w:rPr>
          <w:rFonts w:ascii="Times New Roman" w:hAnsi="Times New Roman" w:cs="Times New Roman"/>
          <w:sz w:val="24"/>
          <w:szCs w:val="24"/>
        </w:rPr>
        <w:t xml:space="preserve"> (Khan, </w:t>
      </w:r>
      <w:r w:rsidR="00B62B65" w:rsidRPr="00B62B65">
        <w:rPr>
          <w:rFonts w:ascii="Times New Roman" w:hAnsi="Times New Roman" w:cs="Times New Roman"/>
          <w:sz w:val="24"/>
          <w:szCs w:val="24"/>
        </w:rPr>
        <w:t>2020)</w:t>
      </w:r>
      <w:r w:rsidRPr="00B62B65">
        <w:rPr>
          <w:rFonts w:ascii="Times New Roman" w:hAnsi="Times New Roman" w:cs="Times New Roman"/>
          <w:sz w:val="24"/>
          <w:szCs w:val="24"/>
        </w:rPr>
        <w:t xml:space="preserve">. </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 xml:space="preserve">Protocol outlines ways that can </w:t>
      </w:r>
      <w:r w:rsidR="006E682F" w:rsidRPr="00B62B65">
        <w:rPr>
          <w:rFonts w:ascii="Times New Roman" w:hAnsi="Times New Roman" w:cs="Times New Roman"/>
          <w:sz w:val="24"/>
          <w:szCs w:val="24"/>
        </w:rPr>
        <w:t>helps victims</w:t>
      </w:r>
      <w:r w:rsidRPr="00B62B65">
        <w:rPr>
          <w:rFonts w:ascii="Times New Roman" w:hAnsi="Times New Roman" w:cs="Times New Roman"/>
          <w:sz w:val="24"/>
          <w:szCs w:val="24"/>
        </w:rPr>
        <w:t xml:space="preserve"> of harmful practices through basic services </w:t>
      </w:r>
      <w:r w:rsidR="006E682F" w:rsidRPr="00B62B65">
        <w:rPr>
          <w:rFonts w:ascii="Times New Roman" w:hAnsi="Times New Roman" w:cs="Times New Roman"/>
          <w:sz w:val="24"/>
          <w:szCs w:val="24"/>
        </w:rPr>
        <w:t>like legal and judicial support (</w:t>
      </w:r>
      <w:r w:rsidR="00936E80" w:rsidRPr="00B62B65">
        <w:rPr>
          <w:rFonts w:ascii="Times New Roman" w:hAnsi="Times New Roman" w:cs="Times New Roman"/>
          <w:sz w:val="24"/>
          <w:szCs w:val="24"/>
        </w:rPr>
        <w:t xml:space="preserve">African </w:t>
      </w:r>
      <w:r w:rsidR="006E682F" w:rsidRPr="00B62B65">
        <w:rPr>
          <w:rFonts w:ascii="Times New Roman" w:hAnsi="Times New Roman" w:cs="Times New Roman"/>
          <w:color w:val="222222"/>
          <w:sz w:val="24"/>
          <w:szCs w:val="24"/>
          <w:shd w:val="clear" w:color="auto" w:fill="FFFFFF"/>
        </w:rPr>
        <w:t>Union, 2003).</w:t>
      </w:r>
      <w:r w:rsidRPr="00B62B65">
        <w:rPr>
          <w:rFonts w:ascii="Times New Roman" w:hAnsi="Times New Roman" w:cs="Times New Roman"/>
          <w:sz w:val="24"/>
          <w:szCs w:val="24"/>
        </w:rPr>
        <w:t xml:space="preserve"> The Maputo Protocol laid the foundation for African women's equal rights. It acknowledged the crucial role played by women in preserving values based on principles of justice, equality, freedom, peace, and democracy. The Protocol call </w:t>
      </w:r>
      <w:r w:rsidRPr="00B62B65">
        <w:rPr>
          <w:rFonts w:ascii="Times New Roman" w:hAnsi="Times New Roman" w:cs="Times New Roman"/>
          <w:sz w:val="24"/>
          <w:szCs w:val="24"/>
        </w:rPr>
        <w:lastRenderedPageBreak/>
        <w:t xml:space="preserve">for all African states to eliminate all forms of </w:t>
      </w:r>
      <w:r w:rsidR="00F52A5E" w:rsidRPr="00B62B65">
        <w:rPr>
          <w:rFonts w:ascii="Times New Roman" w:hAnsi="Times New Roman" w:cs="Times New Roman"/>
          <w:sz w:val="24"/>
          <w:szCs w:val="24"/>
        </w:rPr>
        <w:t>discrimination on women</w:t>
      </w:r>
      <w:r w:rsidRPr="00B62B65">
        <w:rPr>
          <w:rFonts w:ascii="Times New Roman" w:hAnsi="Times New Roman" w:cs="Times New Roman"/>
          <w:sz w:val="24"/>
          <w:szCs w:val="24"/>
        </w:rPr>
        <w:t xml:space="preserve"> by implementing institutional and legislative policies. </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Article 4 of the Maputo Protocol indicates that states should protect women's reproductive rights, thus allowing medical abortions, for example, in rape cases or incest. It means that women have the right to access safe termination. African government should provide affordable, adequate, and accessible health services and develop and strengthen existing nutritional and health services for women (</w:t>
      </w:r>
      <w:r w:rsidR="00936E80" w:rsidRPr="00B62B65">
        <w:rPr>
          <w:rFonts w:ascii="Times New Roman" w:hAnsi="Times New Roman" w:cs="Times New Roman"/>
          <w:sz w:val="24"/>
          <w:szCs w:val="24"/>
        </w:rPr>
        <w:t xml:space="preserve">African </w:t>
      </w:r>
      <w:r w:rsidRPr="00B62B65">
        <w:rPr>
          <w:rFonts w:ascii="Times New Roman" w:hAnsi="Times New Roman" w:cs="Times New Roman"/>
          <w:color w:val="222222"/>
          <w:sz w:val="24"/>
          <w:szCs w:val="24"/>
          <w:shd w:val="clear" w:color="auto" w:fill="FFFFFF"/>
        </w:rPr>
        <w:t>Union, 2003).</w:t>
      </w:r>
      <w:r w:rsidRPr="00B62B65">
        <w:rPr>
          <w:rFonts w:ascii="Times New Roman" w:hAnsi="Times New Roman" w:cs="Times New Roman"/>
          <w:sz w:val="24"/>
          <w:szCs w:val="24"/>
        </w:rPr>
        <w:t xml:space="preserve"> The Protocol lays the foundation of how states should promote African reproductive and health rights like controlling fertility, choosing methods of contraception, and family planning education.</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 xml:space="preserve"> In African countries, human rights abuse and discrimination against sexual minorities still exist.   Humanitarian bodies like Committee on Economic Social and Cultural Rights (CESCR), All Forms Discrimination against Women (CEDAW) provide concluding observations and recommendations which further help in clarification of sexual reproductive health rights</w:t>
      </w:r>
      <w:r w:rsidR="00887F6C">
        <w:rPr>
          <w:rFonts w:ascii="Times New Roman" w:hAnsi="Times New Roman" w:cs="Times New Roman"/>
          <w:sz w:val="24"/>
          <w:szCs w:val="24"/>
        </w:rPr>
        <w:t xml:space="preserve"> </w:t>
      </w:r>
      <w:r w:rsidR="00887F6C" w:rsidRPr="00B62B65">
        <w:rPr>
          <w:rFonts w:ascii="Times New Roman" w:hAnsi="Times New Roman" w:cs="Times New Roman"/>
          <w:sz w:val="24"/>
          <w:szCs w:val="24"/>
        </w:rPr>
        <w:t>(UN, 2009)</w:t>
      </w:r>
      <w:r w:rsidRPr="00B62B65">
        <w:rPr>
          <w:rFonts w:ascii="Times New Roman" w:hAnsi="Times New Roman" w:cs="Times New Roman"/>
          <w:color w:val="222222"/>
          <w:sz w:val="24"/>
          <w:szCs w:val="24"/>
          <w:shd w:val="clear" w:color="auto" w:fill="FFFFFF"/>
        </w:rPr>
        <w:t>.</w:t>
      </w:r>
      <w:r w:rsidRPr="00B62B65">
        <w:rPr>
          <w:rFonts w:ascii="Times New Roman" w:hAnsi="Times New Roman" w:cs="Times New Roman"/>
          <w:sz w:val="24"/>
          <w:szCs w:val="24"/>
        </w:rPr>
        <w:t xml:space="preserve"> All these recommendations aim at protecting African rights regarding reproductive and health rights. For example, CESCR recommends African countries should allow accessibility, availability, and acceptability of reproduction healthcare services for women. Additionally, CESCR urges states to respect and protect reproductive and sexual health services for Sub-Saharan African women.</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At regional levels, the African Commission on Human and People Rights plays a crucial role in developing standards and norms that aim at advancing sexual and reproductive health as human rights for women. In 2017, African Commission adopted a comprehensive progressive report to fight sexual violence in African countries</w:t>
      </w:r>
      <w:r w:rsidR="00887F6C">
        <w:rPr>
          <w:rFonts w:ascii="Times New Roman" w:hAnsi="Times New Roman" w:cs="Times New Roman"/>
          <w:sz w:val="24"/>
          <w:szCs w:val="24"/>
        </w:rPr>
        <w:t xml:space="preserve"> </w:t>
      </w:r>
      <w:r w:rsidR="00887F6C" w:rsidRPr="00B62B65">
        <w:rPr>
          <w:rFonts w:ascii="Times New Roman" w:hAnsi="Times New Roman" w:cs="Times New Roman"/>
          <w:sz w:val="24"/>
          <w:szCs w:val="24"/>
        </w:rPr>
        <w:t xml:space="preserve">(African Union, </w:t>
      </w:r>
      <w:r w:rsidR="00887F6C">
        <w:rPr>
          <w:rFonts w:ascii="Times New Roman" w:hAnsi="Times New Roman" w:cs="Times New Roman"/>
          <w:sz w:val="24"/>
          <w:szCs w:val="24"/>
        </w:rPr>
        <w:t>2003)</w:t>
      </w:r>
      <w:r w:rsidRPr="00B62B65">
        <w:rPr>
          <w:rFonts w:ascii="Times New Roman" w:hAnsi="Times New Roman" w:cs="Times New Roman"/>
          <w:sz w:val="24"/>
          <w:szCs w:val="24"/>
        </w:rPr>
        <w:t xml:space="preserve">. Besides crucial developments at regional levels, national courts in African countries provide significant </w:t>
      </w:r>
      <w:r w:rsidRPr="00B62B65">
        <w:rPr>
          <w:rFonts w:ascii="Times New Roman" w:hAnsi="Times New Roman" w:cs="Times New Roman"/>
          <w:sz w:val="24"/>
          <w:szCs w:val="24"/>
        </w:rPr>
        <w:lastRenderedPageBreak/>
        <w:t>jurisprudence that promotes and protects sexual and reproductive rights. For instance, courts in Uganda, Kenya, South Africa, Zimbabwe, and Malawi have settled down judgments that advance reproductive and sexual rights for women.</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National legislations in various African countries and international bodies advocate for women's participation in politics and enjoy social, economic, and cultural rights. For exam</w:t>
      </w:r>
      <w:r w:rsidR="006E682F" w:rsidRPr="00B62B65">
        <w:rPr>
          <w:rFonts w:ascii="Times New Roman" w:hAnsi="Times New Roman" w:cs="Times New Roman"/>
          <w:sz w:val="24"/>
          <w:szCs w:val="24"/>
        </w:rPr>
        <w:t>ple, the Maputo Protocol of 2003</w:t>
      </w:r>
      <w:r w:rsidRPr="00B62B65">
        <w:rPr>
          <w:rFonts w:ascii="Times New Roman" w:hAnsi="Times New Roman" w:cs="Times New Roman"/>
          <w:sz w:val="24"/>
          <w:szCs w:val="24"/>
        </w:rPr>
        <w:t xml:space="preserve"> urges states to take specific positive actions to allow women to participate in politics. Through affirmative action and national legislation, the Protocol calls African governments to allow women to participate in politics without discrimination in elections. According to this Protocol, women have equal chances like men to implement state policies. Both international and regional human rights have developed obligations to African states to practice social and economic rights for women. For example, CEDAW and International Covenant on Economic, Social, and Cultural Rights are the two significant global instruments that guarantee women's rights</w:t>
      </w:r>
      <w:r w:rsidR="00B62B65" w:rsidRPr="00B62B65">
        <w:rPr>
          <w:rFonts w:ascii="Times New Roman" w:hAnsi="Times New Roman" w:cs="Times New Roman"/>
          <w:sz w:val="24"/>
          <w:szCs w:val="24"/>
        </w:rPr>
        <w:t xml:space="preserve"> (UN, </w:t>
      </w:r>
      <w:r w:rsidR="00B62B65" w:rsidRPr="00B62B65">
        <w:rPr>
          <w:rFonts w:ascii="Times New Roman" w:hAnsi="Times New Roman" w:cs="Times New Roman"/>
          <w:sz w:val="24"/>
          <w:szCs w:val="24"/>
        </w:rPr>
        <w:t>2009).</w:t>
      </w:r>
      <w:r w:rsidRPr="00B62B65">
        <w:rPr>
          <w:rFonts w:ascii="Times New Roman" w:hAnsi="Times New Roman" w:cs="Times New Roman"/>
          <w:sz w:val="24"/>
          <w:szCs w:val="24"/>
        </w:rPr>
        <w:t xml:space="preserve"> These bodies protect women's rights in workplaces and allow them to enjoy favorable and just conditions.</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National legislation promotes women's right to access land. In the African continent, women's land use and other economic resources are significant for ensuring equal rights. The availability of these resources makes women provide for their daily needs. Notably, access to land among women is connected to food security.</w:t>
      </w:r>
      <w:r w:rsidR="00F52A5E" w:rsidRPr="00B62B65">
        <w:rPr>
          <w:rFonts w:ascii="Times New Roman" w:hAnsi="Times New Roman" w:cs="Times New Roman"/>
          <w:sz w:val="24"/>
          <w:szCs w:val="24"/>
        </w:rPr>
        <w:t xml:space="preserve"> In sub-Saharan Africa (SSA), women experiences violations of human rights th</w:t>
      </w:r>
      <w:r w:rsidR="00E418F8" w:rsidRPr="00B62B65">
        <w:rPr>
          <w:rFonts w:ascii="Times New Roman" w:hAnsi="Times New Roman" w:cs="Times New Roman"/>
          <w:sz w:val="24"/>
          <w:szCs w:val="24"/>
        </w:rPr>
        <w:t>an any other part of the world</w:t>
      </w:r>
      <w:r w:rsidR="00936E80" w:rsidRPr="00B62B65">
        <w:rPr>
          <w:rFonts w:ascii="Times New Roman" w:hAnsi="Times New Roman" w:cs="Times New Roman"/>
          <w:color w:val="222222"/>
          <w:sz w:val="24"/>
          <w:szCs w:val="24"/>
          <w:shd w:val="clear" w:color="auto" w:fill="FFFFFF"/>
        </w:rPr>
        <w:t xml:space="preserve"> (</w:t>
      </w:r>
      <w:proofErr w:type="spellStart"/>
      <w:r w:rsidR="00936E80" w:rsidRPr="00B62B65">
        <w:rPr>
          <w:rFonts w:ascii="Times New Roman" w:hAnsi="Times New Roman" w:cs="Times New Roman"/>
          <w:color w:val="222222"/>
          <w:sz w:val="24"/>
          <w:szCs w:val="24"/>
          <w:shd w:val="clear" w:color="auto" w:fill="FFFFFF"/>
        </w:rPr>
        <w:t>Asaolu</w:t>
      </w:r>
      <w:proofErr w:type="spellEnd"/>
      <w:r w:rsidR="00936E80" w:rsidRPr="00B62B65">
        <w:rPr>
          <w:rFonts w:ascii="Times New Roman" w:hAnsi="Times New Roman" w:cs="Times New Roman"/>
          <w:color w:val="222222"/>
          <w:sz w:val="24"/>
          <w:szCs w:val="24"/>
          <w:shd w:val="clear" w:color="auto" w:fill="FFFFFF"/>
        </w:rPr>
        <w:t xml:space="preserve"> et al., 2018)</w:t>
      </w:r>
      <w:r w:rsidR="000D1EFC" w:rsidRPr="00B62B65">
        <w:rPr>
          <w:rFonts w:ascii="Times New Roman" w:hAnsi="Times New Roman" w:cs="Times New Roman"/>
          <w:color w:val="222222"/>
          <w:sz w:val="24"/>
          <w:szCs w:val="24"/>
          <w:shd w:val="clear" w:color="auto" w:fill="FFFFFF"/>
        </w:rPr>
        <w:t>.</w:t>
      </w:r>
      <w:r w:rsidR="000D1EFC" w:rsidRPr="00B62B65">
        <w:rPr>
          <w:rFonts w:ascii="Times New Roman" w:hAnsi="Times New Roman" w:cs="Times New Roman"/>
          <w:sz w:val="24"/>
          <w:szCs w:val="24"/>
        </w:rPr>
        <w:t xml:space="preserve"> Some</w:t>
      </w:r>
      <w:r w:rsidRPr="00B62B65">
        <w:rPr>
          <w:rFonts w:ascii="Times New Roman" w:hAnsi="Times New Roman" w:cs="Times New Roman"/>
          <w:sz w:val="24"/>
          <w:szCs w:val="24"/>
        </w:rPr>
        <w:t xml:space="preserve"> of the challenges that prevent women from accessing and use land include lack of legal standards and discriminatory cultural att</w:t>
      </w:r>
      <w:r w:rsidR="00F52A5E" w:rsidRPr="00B62B65">
        <w:rPr>
          <w:rFonts w:ascii="Times New Roman" w:hAnsi="Times New Roman" w:cs="Times New Roman"/>
          <w:sz w:val="24"/>
          <w:szCs w:val="24"/>
        </w:rPr>
        <w:t xml:space="preserve">itudes at the community level. </w:t>
      </w:r>
      <w:r w:rsidRPr="00B62B65">
        <w:rPr>
          <w:rFonts w:ascii="Times New Roman" w:hAnsi="Times New Roman" w:cs="Times New Roman"/>
          <w:sz w:val="24"/>
          <w:szCs w:val="24"/>
        </w:rPr>
        <w:t xml:space="preserve">Maputo Protocol states that in case of divorce or separation, both men and women have equal rights for equitable sharing and guarantee property rights. In 2013, Rwanda implemented a law that guarantees women equal rights to access </w:t>
      </w:r>
      <w:r w:rsidRPr="00B62B65">
        <w:rPr>
          <w:rFonts w:ascii="Times New Roman" w:hAnsi="Times New Roman" w:cs="Times New Roman"/>
          <w:sz w:val="24"/>
          <w:szCs w:val="24"/>
        </w:rPr>
        <w:lastRenderedPageBreak/>
        <w:t>land utilization and ownership like men. In Zambia, the government developed an affirmative policy in which 30% of the available land is allocated to women and the rest to be distributed to men and women equally. Women's equal access to land is a significant step towards women's empowerment and critical in determining their economic well-being and social status. From the past, gender has been a critical issue concerning women's land rights since there is a direct relationship between overcoming poverty and accessing land resources</w:t>
      </w:r>
      <w:r w:rsidR="00B62B65" w:rsidRPr="00B62B65">
        <w:rPr>
          <w:rFonts w:ascii="Times New Roman" w:hAnsi="Times New Roman" w:cs="Times New Roman"/>
          <w:sz w:val="24"/>
          <w:szCs w:val="24"/>
        </w:rPr>
        <w:t xml:space="preserve"> (</w:t>
      </w:r>
      <w:r w:rsidR="00B62B65" w:rsidRPr="00B62B65">
        <w:rPr>
          <w:rFonts w:ascii="Times New Roman" w:hAnsi="Times New Roman" w:cs="Times New Roman"/>
          <w:sz w:val="24"/>
          <w:szCs w:val="24"/>
        </w:rPr>
        <w:t>Barcelona In</w:t>
      </w:r>
      <w:r w:rsidR="00B62B65" w:rsidRPr="00B62B65">
        <w:rPr>
          <w:rFonts w:ascii="Times New Roman" w:hAnsi="Times New Roman" w:cs="Times New Roman"/>
          <w:sz w:val="24"/>
          <w:szCs w:val="24"/>
        </w:rPr>
        <w:t xml:space="preserve">stitute for Global Health, </w:t>
      </w:r>
      <w:r w:rsidR="00B62B65" w:rsidRPr="00B62B65">
        <w:rPr>
          <w:rFonts w:ascii="Times New Roman" w:hAnsi="Times New Roman" w:cs="Times New Roman"/>
          <w:sz w:val="24"/>
          <w:szCs w:val="24"/>
        </w:rPr>
        <w:t>2016</w:t>
      </w:r>
      <w:r w:rsidR="00B62B65" w:rsidRPr="00B62B65">
        <w:rPr>
          <w:rFonts w:ascii="Times New Roman" w:hAnsi="Times New Roman" w:cs="Times New Roman"/>
          <w:sz w:val="24"/>
          <w:szCs w:val="24"/>
        </w:rPr>
        <w:t>)</w:t>
      </w:r>
      <w:r w:rsidRPr="00B62B65">
        <w:rPr>
          <w:rFonts w:ascii="Times New Roman" w:hAnsi="Times New Roman" w:cs="Times New Roman"/>
          <w:sz w:val="24"/>
          <w:szCs w:val="24"/>
        </w:rPr>
        <w:t xml:space="preserve">. Therefore, improving women's rights in land issues is important in social-economic development, particularly in African countries. </w:t>
      </w:r>
    </w:p>
    <w:p w:rsidR="000129EB"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National laws and international bodies can help women to enjoy rights to sustainable development. State legislation can reduce the negative impacts of globalization and economic and trade policies on women. Additionally, state laws can support women's training and skills development in rural and urban areas to provide women with a quality life and reduce poverty among them.  The Maputo Protocol recommends states consider some of the human development indicators related to women in development programs and policies</w:t>
      </w:r>
      <w:r w:rsidR="00887F6C">
        <w:rPr>
          <w:rFonts w:ascii="Times New Roman" w:hAnsi="Times New Roman" w:cs="Times New Roman"/>
          <w:sz w:val="24"/>
          <w:szCs w:val="24"/>
        </w:rPr>
        <w:t xml:space="preserve"> </w:t>
      </w:r>
      <w:r w:rsidR="00887F6C" w:rsidRPr="00B62B65">
        <w:rPr>
          <w:rFonts w:ascii="Times New Roman" w:hAnsi="Times New Roman" w:cs="Times New Roman"/>
          <w:sz w:val="24"/>
          <w:szCs w:val="24"/>
        </w:rPr>
        <w:t xml:space="preserve">(African Union, </w:t>
      </w:r>
      <w:r w:rsidR="002D64CE">
        <w:rPr>
          <w:rFonts w:ascii="Times New Roman" w:hAnsi="Times New Roman" w:cs="Times New Roman"/>
          <w:sz w:val="24"/>
          <w:szCs w:val="24"/>
        </w:rPr>
        <w:t>2003</w:t>
      </w:r>
      <w:r w:rsidR="00887F6C">
        <w:rPr>
          <w:rFonts w:ascii="Times New Roman" w:hAnsi="Times New Roman" w:cs="Times New Roman"/>
          <w:sz w:val="24"/>
          <w:szCs w:val="24"/>
        </w:rPr>
        <w:t>)</w:t>
      </w:r>
      <w:r w:rsidRPr="00B62B65">
        <w:rPr>
          <w:rFonts w:ascii="Times New Roman" w:hAnsi="Times New Roman" w:cs="Times New Roman"/>
          <w:sz w:val="24"/>
          <w:szCs w:val="24"/>
        </w:rPr>
        <w:t>. The Protocol also states that governments should support the participation of women at all levels in decision-making, execution, and evaluation of policies</w:t>
      </w:r>
      <w:r w:rsidR="000D1EFC" w:rsidRPr="00B62B65">
        <w:rPr>
          <w:rFonts w:ascii="Times New Roman" w:hAnsi="Times New Roman" w:cs="Times New Roman"/>
          <w:sz w:val="24"/>
          <w:szCs w:val="24"/>
        </w:rPr>
        <w:t xml:space="preserve"> (</w:t>
      </w:r>
      <w:r w:rsidR="00936E80" w:rsidRPr="00B62B65">
        <w:rPr>
          <w:rFonts w:ascii="Times New Roman" w:hAnsi="Times New Roman" w:cs="Times New Roman"/>
          <w:sz w:val="24"/>
          <w:szCs w:val="24"/>
        </w:rPr>
        <w:t xml:space="preserve">African </w:t>
      </w:r>
      <w:r w:rsidR="006E682F" w:rsidRPr="00B62B65">
        <w:rPr>
          <w:rFonts w:ascii="Times New Roman" w:hAnsi="Times New Roman" w:cs="Times New Roman"/>
          <w:sz w:val="24"/>
          <w:szCs w:val="24"/>
        </w:rPr>
        <w:t>Union,</w:t>
      </w:r>
      <w:r w:rsidR="00936E80" w:rsidRPr="00B62B65">
        <w:rPr>
          <w:rFonts w:ascii="Times New Roman" w:hAnsi="Times New Roman" w:cs="Times New Roman"/>
          <w:sz w:val="24"/>
          <w:szCs w:val="24"/>
        </w:rPr>
        <w:t xml:space="preserve"> </w:t>
      </w:r>
      <w:r w:rsidR="00887F6C">
        <w:rPr>
          <w:rFonts w:ascii="Times New Roman" w:hAnsi="Times New Roman" w:cs="Times New Roman"/>
          <w:sz w:val="24"/>
          <w:szCs w:val="24"/>
        </w:rPr>
        <w:t>2003</w:t>
      </w:r>
      <w:r w:rsidR="006E682F" w:rsidRPr="00B62B65">
        <w:rPr>
          <w:rFonts w:ascii="Times New Roman" w:hAnsi="Times New Roman" w:cs="Times New Roman"/>
          <w:sz w:val="24"/>
          <w:szCs w:val="24"/>
        </w:rPr>
        <w:t>).</w:t>
      </w:r>
      <w:r w:rsidR="00E418F8" w:rsidRPr="00B62B65">
        <w:rPr>
          <w:rFonts w:ascii="Times New Roman" w:hAnsi="Times New Roman" w:cs="Times New Roman"/>
          <w:sz w:val="24"/>
          <w:szCs w:val="24"/>
        </w:rPr>
        <w:t xml:space="preserve"> </w:t>
      </w:r>
      <w:r w:rsidRPr="00B62B65">
        <w:rPr>
          <w:rFonts w:ascii="Times New Roman" w:hAnsi="Times New Roman" w:cs="Times New Roman"/>
          <w:sz w:val="24"/>
          <w:szCs w:val="24"/>
        </w:rPr>
        <w:t>This will ensure women have equal rights in state functions and become empowered.</w:t>
      </w:r>
    </w:p>
    <w:p w:rsidR="00F52A5E" w:rsidRPr="00B62B65" w:rsidRDefault="000129EB" w:rsidP="00B62B65">
      <w:pPr>
        <w:spacing w:line="480" w:lineRule="auto"/>
        <w:ind w:firstLine="720"/>
        <w:jc w:val="both"/>
        <w:rPr>
          <w:rFonts w:ascii="Times New Roman" w:hAnsi="Times New Roman" w:cs="Times New Roman"/>
          <w:sz w:val="24"/>
          <w:szCs w:val="24"/>
        </w:rPr>
      </w:pPr>
      <w:r w:rsidRPr="00B62B65">
        <w:rPr>
          <w:rFonts w:ascii="Times New Roman" w:hAnsi="Times New Roman" w:cs="Times New Roman"/>
          <w:sz w:val="24"/>
          <w:szCs w:val="24"/>
        </w:rPr>
        <w:t xml:space="preserve">Summing up, African women still experience sexual discrimination, political marginalization, intimate violence, and economic deprivation. Global instruments and national legislation promotes African rights by supporting rights for reproductive health, allowing women to participate in politics, and eliminating harmful and discriminatory practices. For example, the Maputo Protocol laid the foundation for African women's equal rights. It acknowledged the crucial role played by women in preserving values based on principles of justice, equality, freedom, peace, </w:t>
      </w:r>
      <w:r w:rsidRPr="00B62B65">
        <w:rPr>
          <w:rFonts w:ascii="Times New Roman" w:hAnsi="Times New Roman" w:cs="Times New Roman"/>
          <w:sz w:val="24"/>
          <w:szCs w:val="24"/>
        </w:rPr>
        <w:lastRenderedPageBreak/>
        <w:t xml:space="preserve">and democracy. The Protocol </w:t>
      </w:r>
      <w:r w:rsidR="00F52A5E" w:rsidRPr="00B62B65">
        <w:rPr>
          <w:rFonts w:ascii="Times New Roman" w:hAnsi="Times New Roman" w:cs="Times New Roman"/>
          <w:sz w:val="24"/>
          <w:szCs w:val="24"/>
        </w:rPr>
        <w:t xml:space="preserve">explains </w:t>
      </w:r>
      <w:r w:rsidRPr="00B62B65">
        <w:rPr>
          <w:rFonts w:ascii="Times New Roman" w:hAnsi="Times New Roman" w:cs="Times New Roman"/>
          <w:sz w:val="24"/>
          <w:szCs w:val="24"/>
        </w:rPr>
        <w:t>how states should promote African reproductive and health rights like controlling fertility, choosing contraception, family planning education. Besides crucial developments at regional levels, national courts in African countries provide significant jurisprudence that promotes and protects sexual and reproductive rights. National legislation can reduce the negative impacts of globalization and implementation of economic and trade policies on women</w:t>
      </w:r>
      <w:r w:rsidR="00F52A5E" w:rsidRPr="00B62B65">
        <w:rPr>
          <w:rFonts w:ascii="Times New Roman" w:hAnsi="Times New Roman" w:cs="Times New Roman"/>
          <w:sz w:val="24"/>
          <w:szCs w:val="24"/>
        </w:rPr>
        <w:t>.</w:t>
      </w:r>
    </w:p>
    <w:p w:rsidR="00F52A5E" w:rsidRPr="00B62B65" w:rsidRDefault="00F52A5E" w:rsidP="00B62B65">
      <w:pPr>
        <w:spacing w:line="480" w:lineRule="auto"/>
        <w:rPr>
          <w:rFonts w:ascii="Times New Roman" w:hAnsi="Times New Roman" w:cs="Times New Roman"/>
          <w:sz w:val="24"/>
          <w:szCs w:val="24"/>
        </w:rPr>
      </w:pPr>
      <w:r w:rsidRPr="00B62B65">
        <w:rPr>
          <w:rFonts w:ascii="Times New Roman" w:hAnsi="Times New Roman" w:cs="Times New Roman"/>
          <w:sz w:val="24"/>
          <w:szCs w:val="24"/>
        </w:rPr>
        <w:br w:type="page"/>
      </w:r>
    </w:p>
    <w:p w:rsidR="00F52A5E" w:rsidRPr="00B62B65" w:rsidRDefault="00F52A5E" w:rsidP="00B62B65">
      <w:pPr>
        <w:spacing w:line="480" w:lineRule="auto"/>
        <w:ind w:left="720" w:hanging="720"/>
        <w:jc w:val="center"/>
        <w:rPr>
          <w:rFonts w:ascii="Times New Roman" w:hAnsi="Times New Roman" w:cs="Times New Roman"/>
          <w:sz w:val="24"/>
          <w:szCs w:val="24"/>
        </w:rPr>
      </w:pPr>
      <w:r w:rsidRPr="00B62B65">
        <w:rPr>
          <w:rFonts w:ascii="Times New Roman" w:hAnsi="Times New Roman" w:cs="Times New Roman"/>
          <w:sz w:val="24"/>
          <w:szCs w:val="24"/>
        </w:rPr>
        <w:lastRenderedPageBreak/>
        <w:t>References</w:t>
      </w:r>
    </w:p>
    <w:p w:rsidR="00B62B65" w:rsidRPr="00B62B65" w:rsidRDefault="00B62B65" w:rsidP="00B62B65">
      <w:pPr>
        <w:spacing w:line="480" w:lineRule="auto"/>
        <w:ind w:left="720" w:hanging="720"/>
        <w:rPr>
          <w:rFonts w:ascii="Times New Roman" w:hAnsi="Times New Roman" w:cs="Times New Roman"/>
          <w:color w:val="222222"/>
          <w:sz w:val="24"/>
          <w:szCs w:val="24"/>
          <w:shd w:val="clear" w:color="auto" w:fill="FFFFFF"/>
        </w:rPr>
      </w:pPr>
      <w:r w:rsidRPr="00B62B65">
        <w:rPr>
          <w:rFonts w:ascii="Times New Roman" w:hAnsi="Times New Roman" w:cs="Times New Roman"/>
          <w:color w:val="222222"/>
          <w:sz w:val="24"/>
          <w:szCs w:val="24"/>
          <w:shd w:val="clear" w:color="auto" w:fill="FFFFFF"/>
        </w:rPr>
        <w:t xml:space="preserve">African Union. (2003). Protocol to the African Charter on Human and Peoples’ Rights on the Rights of Women in Africa. </w:t>
      </w:r>
      <w:hyperlink r:id="rId6" w:history="1">
        <w:r w:rsidRPr="00B62B65">
          <w:rPr>
            <w:rStyle w:val="Hyperlink"/>
            <w:rFonts w:ascii="Times New Roman" w:hAnsi="Times New Roman" w:cs="Times New Roman"/>
            <w:sz w:val="24"/>
            <w:szCs w:val="24"/>
            <w:shd w:val="clear" w:color="auto" w:fill="FFFFFF"/>
          </w:rPr>
          <w:t>https://au.int/en/treaties/protocol-african-charter-human-and-peoples-rights-rights-women-africa</w:t>
        </w:r>
      </w:hyperlink>
    </w:p>
    <w:p w:rsidR="00B62B65" w:rsidRPr="00B62B65" w:rsidRDefault="00B62B65" w:rsidP="00B62B65">
      <w:pPr>
        <w:spacing w:line="480" w:lineRule="auto"/>
        <w:ind w:left="720" w:hanging="720"/>
        <w:rPr>
          <w:rFonts w:ascii="Times New Roman" w:hAnsi="Times New Roman" w:cs="Times New Roman"/>
          <w:color w:val="222222"/>
          <w:sz w:val="24"/>
          <w:szCs w:val="24"/>
          <w:shd w:val="clear" w:color="auto" w:fill="FFFFFF"/>
        </w:rPr>
      </w:pPr>
      <w:proofErr w:type="spellStart"/>
      <w:r w:rsidRPr="00B62B65">
        <w:rPr>
          <w:rFonts w:ascii="Times New Roman" w:hAnsi="Times New Roman" w:cs="Times New Roman"/>
          <w:color w:val="222222"/>
          <w:sz w:val="24"/>
          <w:szCs w:val="24"/>
          <w:shd w:val="clear" w:color="auto" w:fill="FFFFFF"/>
        </w:rPr>
        <w:t>Asaolu</w:t>
      </w:r>
      <w:proofErr w:type="spellEnd"/>
      <w:r w:rsidRPr="00B62B65">
        <w:rPr>
          <w:rFonts w:ascii="Times New Roman" w:hAnsi="Times New Roman" w:cs="Times New Roman"/>
          <w:color w:val="222222"/>
          <w:sz w:val="24"/>
          <w:szCs w:val="24"/>
          <w:shd w:val="clear" w:color="auto" w:fill="FFFFFF"/>
        </w:rPr>
        <w:t xml:space="preserve">, I. O., </w:t>
      </w:r>
      <w:proofErr w:type="spellStart"/>
      <w:r w:rsidRPr="00B62B65">
        <w:rPr>
          <w:rFonts w:ascii="Times New Roman" w:hAnsi="Times New Roman" w:cs="Times New Roman"/>
          <w:color w:val="222222"/>
          <w:sz w:val="24"/>
          <w:szCs w:val="24"/>
          <w:shd w:val="clear" w:color="auto" w:fill="FFFFFF"/>
        </w:rPr>
        <w:t>Alaofè</w:t>
      </w:r>
      <w:proofErr w:type="spellEnd"/>
      <w:r w:rsidRPr="00B62B65">
        <w:rPr>
          <w:rFonts w:ascii="Times New Roman" w:hAnsi="Times New Roman" w:cs="Times New Roman"/>
          <w:color w:val="222222"/>
          <w:sz w:val="24"/>
          <w:szCs w:val="24"/>
          <w:shd w:val="clear" w:color="auto" w:fill="FFFFFF"/>
        </w:rPr>
        <w:t xml:space="preserve">, H., Gunn, J. K., </w:t>
      </w:r>
      <w:proofErr w:type="spellStart"/>
      <w:r w:rsidRPr="00B62B65">
        <w:rPr>
          <w:rFonts w:ascii="Times New Roman" w:hAnsi="Times New Roman" w:cs="Times New Roman"/>
          <w:color w:val="222222"/>
          <w:sz w:val="24"/>
          <w:szCs w:val="24"/>
          <w:shd w:val="clear" w:color="auto" w:fill="FFFFFF"/>
        </w:rPr>
        <w:t>Adu</w:t>
      </w:r>
      <w:proofErr w:type="spellEnd"/>
      <w:r w:rsidRPr="00B62B65">
        <w:rPr>
          <w:rFonts w:ascii="Times New Roman" w:hAnsi="Times New Roman" w:cs="Times New Roman"/>
          <w:color w:val="222222"/>
          <w:sz w:val="24"/>
          <w:szCs w:val="24"/>
          <w:shd w:val="clear" w:color="auto" w:fill="FFFFFF"/>
        </w:rPr>
        <w:t xml:space="preserve">, A. K., Monroy, A. J., </w:t>
      </w:r>
      <w:proofErr w:type="spellStart"/>
      <w:r w:rsidRPr="00B62B65">
        <w:rPr>
          <w:rFonts w:ascii="Times New Roman" w:hAnsi="Times New Roman" w:cs="Times New Roman"/>
          <w:color w:val="222222"/>
          <w:sz w:val="24"/>
          <w:szCs w:val="24"/>
          <w:shd w:val="clear" w:color="auto" w:fill="FFFFFF"/>
        </w:rPr>
        <w:t>Ehiri</w:t>
      </w:r>
      <w:proofErr w:type="spellEnd"/>
      <w:r w:rsidRPr="00B62B65">
        <w:rPr>
          <w:rFonts w:ascii="Times New Roman" w:hAnsi="Times New Roman" w:cs="Times New Roman"/>
          <w:color w:val="222222"/>
          <w:sz w:val="24"/>
          <w:szCs w:val="24"/>
          <w:shd w:val="clear" w:color="auto" w:fill="FFFFFF"/>
        </w:rPr>
        <w:t>, J. E., ... &amp; Ernst, K. C. (2018). Measuring women's Empowerment in sub-Saharan Africa: exploratory and confirmatory factor analyses of the demographic and health surveys. </w:t>
      </w:r>
      <w:r w:rsidRPr="00B62B65">
        <w:rPr>
          <w:rFonts w:ascii="Times New Roman" w:hAnsi="Times New Roman" w:cs="Times New Roman"/>
          <w:i/>
          <w:iCs/>
          <w:color w:val="222222"/>
          <w:sz w:val="24"/>
          <w:szCs w:val="24"/>
          <w:shd w:val="clear" w:color="auto" w:fill="FFFFFF"/>
        </w:rPr>
        <w:t>Frontiers in psychology</w:t>
      </w:r>
      <w:r w:rsidRPr="00B62B65">
        <w:rPr>
          <w:rFonts w:ascii="Times New Roman" w:hAnsi="Times New Roman" w:cs="Times New Roman"/>
          <w:color w:val="222222"/>
          <w:sz w:val="24"/>
          <w:szCs w:val="24"/>
          <w:shd w:val="clear" w:color="auto" w:fill="FFFFFF"/>
        </w:rPr>
        <w:t>, </w:t>
      </w:r>
      <w:r w:rsidRPr="00B62B65">
        <w:rPr>
          <w:rFonts w:ascii="Times New Roman" w:hAnsi="Times New Roman" w:cs="Times New Roman"/>
          <w:i/>
          <w:iCs/>
          <w:color w:val="222222"/>
          <w:sz w:val="24"/>
          <w:szCs w:val="24"/>
          <w:shd w:val="clear" w:color="auto" w:fill="FFFFFF"/>
        </w:rPr>
        <w:t>9</w:t>
      </w:r>
      <w:r w:rsidRPr="00B62B65">
        <w:rPr>
          <w:rFonts w:ascii="Times New Roman" w:hAnsi="Times New Roman" w:cs="Times New Roman"/>
          <w:color w:val="222222"/>
          <w:sz w:val="24"/>
          <w:szCs w:val="24"/>
          <w:shd w:val="clear" w:color="auto" w:fill="FFFFFF"/>
        </w:rPr>
        <w:t>, 994.</w:t>
      </w:r>
    </w:p>
    <w:p w:rsidR="00B62B65" w:rsidRPr="00B62B65" w:rsidRDefault="00B62B65" w:rsidP="00B62B65">
      <w:pPr>
        <w:spacing w:line="480" w:lineRule="auto"/>
        <w:ind w:left="720" w:hanging="720"/>
        <w:rPr>
          <w:rFonts w:ascii="Times New Roman" w:hAnsi="Times New Roman" w:cs="Times New Roman"/>
          <w:sz w:val="24"/>
          <w:szCs w:val="24"/>
        </w:rPr>
      </w:pPr>
      <w:r w:rsidRPr="00B62B65">
        <w:rPr>
          <w:rFonts w:ascii="Times New Roman" w:hAnsi="Times New Roman" w:cs="Times New Roman"/>
          <w:sz w:val="24"/>
          <w:szCs w:val="24"/>
        </w:rPr>
        <w:t xml:space="preserve">Barcelona Institute for Global Health. (2016). Inequalities and Girls’ Health Opportunities and Outcomes: A Report from Sub-Saharan Africa. </w:t>
      </w:r>
      <w:hyperlink r:id="rId7" w:history="1">
        <w:r w:rsidRPr="00B62B65">
          <w:rPr>
            <w:rStyle w:val="Hyperlink"/>
            <w:rFonts w:ascii="Times New Roman" w:hAnsi="Times New Roman" w:cs="Times New Roman"/>
            <w:sz w:val="24"/>
            <w:szCs w:val="24"/>
          </w:rPr>
          <w:t>https://www.isglobal.org/documents/10179/5808952/Report+Africa.pdf/a978fe4a-d076-468b-805e-2f05861822d7</w:t>
        </w:r>
      </w:hyperlink>
    </w:p>
    <w:p w:rsidR="00B62B65" w:rsidRPr="00B62B65" w:rsidRDefault="00B62B65" w:rsidP="00B62B65">
      <w:pPr>
        <w:spacing w:line="480" w:lineRule="auto"/>
        <w:ind w:left="720" w:hanging="720"/>
        <w:rPr>
          <w:rFonts w:ascii="Times New Roman" w:hAnsi="Times New Roman" w:cs="Times New Roman"/>
          <w:sz w:val="24"/>
          <w:szCs w:val="24"/>
        </w:rPr>
      </w:pPr>
      <w:proofErr w:type="spellStart"/>
      <w:r w:rsidRPr="00B62B65">
        <w:rPr>
          <w:rFonts w:ascii="Times New Roman" w:hAnsi="Times New Roman" w:cs="Times New Roman"/>
          <w:sz w:val="24"/>
          <w:szCs w:val="24"/>
        </w:rPr>
        <w:t>Hodin</w:t>
      </w:r>
      <w:proofErr w:type="spellEnd"/>
      <w:r w:rsidRPr="00B62B65">
        <w:rPr>
          <w:rFonts w:ascii="Times New Roman" w:hAnsi="Times New Roman" w:cs="Times New Roman"/>
          <w:sz w:val="24"/>
          <w:szCs w:val="24"/>
        </w:rPr>
        <w:t xml:space="preserve">, S. (2017). Inequalities in Women’s and Girls’ Health in Sub-Saharan Africa. </w:t>
      </w:r>
      <w:hyperlink r:id="rId8" w:history="1">
        <w:r w:rsidRPr="00B62B65">
          <w:rPr>
            <w:rStyle w:val="Hyperlink"/>
            <w:rFonts w:ascii="Times New Roman" w:hAnsi="Times New Roman" w:cs="Times New Roman"/>
            <w:sz w:val="24"/>
            <w:szCs w:val="24"/>
          </w:rPr>
          <w:t>https://www.mhtf.org/2017/02/13/inequalities-in-womens-and-girls-health-in-sub-saharan-africa/</w:t>
        </w:r>
      </w:hyperlink>
    </w:p>
    <w:p w:rsidR="00B62B65" w:rsidRPr="00B62B65" w:rsidRDefault="00B62B65" w:rsidP="00B62B65">
      <w:pPr>
        <w:spacing w:line="480" w:lineRule="auto"/>
        <w:ind w:left="720" w:hanging="720"/>
        <w:rPr>
          <w:rFonts w:ascii="Times New Roman" w:hAnsi="Times New Roman" w:cs="Times New Roman"/>
          <w:sz w:val="24"/>
          <w:szCs w:val="24"/>
        </w:rPr>
      </w:pPr>
      <w:r w:rsidRPr="00B62B65">
        <w:rPr>
          <w:rFonts w:ascii="Times New Roman" w:hAnsi="Times New Roman" w:cs="Times New Roman"/>
          <w:sz w:val="24"/>
          <w:szCs w:val="24"/>
        </w:rPr>
        <w:t xml:space="preserve">Khan, M. (2020). </w:t>
      </w:r>
      <w:proofErr w:type="spellStart"/>
      <w:r w:rsidRPr="00B62B65">
        <w:rPr>
          <w:rFonts w:ascii="Times New Roman" w:hAnsi="Times New Roman" w:cs="Times New Roman"/>
          <w:sz w:val="24"/>
          <w:szCs w:val="24"/>
        </w:rPr>
        <w:t>Satura</w:t>
      </w:r>
      <w:proofErr w:type="spellEnd"/>
      <w:r w:rsidRPr="00B62B65">
        <w:rPr>
          <w:rFonts w:ascii="Times New Roman" w:hAnsi="Times New Roman" w:cs="Times New Roman"/>
          <w:sz w:val="24"/>
          <w:szCs w:val="24"/>
        </w:rPr>
        <w:t xml:space="preserve"> What Judges Need to Know about Rape and Justice in Senegal. </w:t>
      </w:r>
      <w:hyperlink r:id="rId9" w:history="1">
        <w:r w:rsidRPr="00B62B65">
          <w:rPr>
            <w:rStyle w:val="Hyperlink"/>
            <w:rFonts w:ascii="Times New Roman" w:hAnsi="Times New Roman" w:cs="Times New Roman"/>
            <w:sz w:val="24"/>
            <w:szCs w:val="24"/>
          </w:rPr>
          <w:t>https://www.youtube.com/watch?v=AZl3m8-KOkQ&amp;t=5s</w:t>
        </w:r>
      </w:hyperlink>
    </w:p>
    <w:p w:rsidR="00B62B65" w:rsidRPr="00B62B65" w:rsidRDefault="00B62B65" w:rsidP="00B62B65">
      <w:pPr>
        <w:spacing w:line="480" w:lineRule="auto"/>
        <w:ind w:left="720" w:hanging="720"/>
        <w:rPr>
          <w:rFonts w:ascii="Times New Roman" w:hAnsi="Times New Roman" w:cs="Times New Roman"/>
          <w:sz w:val="24"/>
          <w:szCs w:val="24"/>
        </w:rPr>
      </w:pPr>
      <w:r w:rsidRPr="00B62B65">
        <w:rPr>
          <w:rFonts w:ascii="Times New Roman" w:hAnsi="Times New Roman" w:cs="Times New Roman"/>
          <w:sz w:val="24"/>
          <w:szCs w:val="24"/>
        </w:rPr>
        <w:t xml:space="preserve">UN. (2009). Short History of CEDAW Convention. </w:t>
      </w:r>
      <w:hyperlink r:id="rId10" w:history="1">
        <w:r w:rsidRPr="00B62B65">
          <w:rPr>
            <w:rStyle w:val="Hyperlink"/>
            <w:rFonts w:ascii="Times New Roman" w:hAnsi="Times New Roman" w:cs="Times New Roman"/>
            <w:sz w:val="24"/>
            <w:szCs w:val="24"/>
          </w:rPr>
          <w:t>https://www.un.org/womenwatch/daw/cedaw/history.htm</w:t>
        </w:r>
      </w:hyperlink>
    </w:p>
    <w:p w:rsidR="00E418F8" w:rsidRPr="00B62B65" w:rsidRDefault="00E418F8" w:rsidP="00B62B65">
      <w:pPr>
        <w:spacing w:line="480" w:lineRule="auto"/>
        <w:rPr>
          <w:rFonts w:ascii="Times New Roman" w:hAnsi="Times New Roman" w:cs="Times New Roman"/>
          <w:sz w:val="24"/>
          <w:szCs w:val="24"/>
        </w:rPr>
      </w:pPr>
      <w:r w:rsidRPr="00B62B65">
        <w:rPr>
          <w:rFonts w:ascii="Times New Roman" w:hAnsi="Times New Roman" w:cs="Times New Roman"/>
          <w:sz w:val="24"/>
          <w:szCs w:val="24"/>
        </w:rPr>
        <w:t xml:space="preserve"> </w:t>
      </w:r>
    </w:p>
    <w:p w:rsidR="000129EB" w:rsidRPr="00B62B65" w:rsidRDefault="000129EB" w:rsidP="00B62B65">
      <w:pPr>
        <w:spacing w:line="480" w:lineRule="auto"/>
        <w:ind w:firstLine="720"/>
        <w:jc w:val="both"/>
        <w:rPr>
          <w:rFonts w:ascii="Times New Roman" w:hAnsi="Times New Roman" w:cs="Times New Roman"/>
          <w:sz w:val="24"/>
          <w:szCs w:val="24"/>
        </w:rPr>
      </w:pPr>
      <w:bookmarkStart w:id="0" w:name="_GoBack"/>
      <w:bookmarkEnd w:id="0"/>
    </w:p>
    <w:sectPr w:rsidR="000129EB" w:rsidRPr="00B62B6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26A" w:rsidRDefault="0010626A" w:rsidP="006E682F">
      <w:pPr>
        <w:spacing w:after="0" w:line="240" w:lineRule="auto"/>
      </w:pPr>
      <w:r>
        <w:separator/>
      </w:r>
    </w:p>
  </w:endnote>
  <w:endnote w:type="continuationSeparator" w:id="0">
    <w:p w:rsidR="0010626A" w:rsidRDefault="0010626A" w:rsidP="006E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26A" w:rsidRDefault="0010626A" w:rsidP="006E682F">
      <w:pPr>
        <w:spacing w:after="0" w:line="240" w:lineRule="auto"/>
      </w:pPr>
      <w:r>
        <w:separator/>
      </w:r>
    </w:p>
  </w:footnote>
  <w:footnote w:type="continuationSeparator" w:id="0">
    <w:p w:rsidR="0010626A" w:rsidRDefault="0010626A" w:rsidP="006E6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301892"/>
      <w:docPartObj>
        <w:docPartGallery w:val="Page Numbers (Top of Page)"/>
        <w:docPartUnique/>
      </w:docPartObj>
    </w:sdtPr>
    <w:sdtEndPr>
      <w:rPr>
        <w:rFonts w:ascii="Times New Roman" w:hAnsi="Times New Roman" w:cs="Times New Roman"/>
        <w:noProof/>
        <w:sz w:val="24"/>
        <w:szCs w:val="24"/>
      </w:rPr>
    </w:sdtEndPr>
    <w:sdtContent>
      <w:p w:rsidR="006E682F" w:rsidRPr="000D1EFC" w:rsidRDefault="006E682F">
        <w:pPr>
          <w:pStyle w:val="Header"/>
          <w:jc w:val="right"/>
          <w:rPr>
            <w:rFonts w:ascii="Times New Roman" w:hAnsi="Times New Roman" w:cs="Times New Roman"/>
            <w:sz w:val="24"/>
            <w:szCs w:val="24"/>
          </w:rPr>
        </w:pPr>
        <w:r w:rsidRPr="000D1EFC">
          <w:rPr>
            <w:rFonts w:ascii="Times New Roman" w:hAnsi="Times New Roman" w:cs="Times New Roman"/>
            <w:sz w:val="24"/>
            <w:szCs w:val="24"/>
          </w:rPr>
          <w:fldChar w:fldCharType="begin"/>
        </w:r>
        <w:r w:rsidRPr="000D1EFC">
          <w:rPr>
            <w:rFonts w:ascii="Times New Roman" w:hAnsi="Times New Roman" w:cs="Times New Roman"/>
            <w:sz w:val="24"/>
            <w:szCs w:val="24"/>
          </w:rPr>
          <w:instrText xml:space="preserve"> PAGE   \* MERGEFORMAT </w:instrText>
        </w:r>
        <w:r w:rsidRPr="000D1EFC">
          <w:rPr>
            <w:rFonts w:ascii="Times New Roman" w:hAnsi="Times New Roman" w:cs="Times New Roman"/>
            <w:sz w:val="24"/>
            <w:szCs w:val="24"/>
          </w:rPr>
          <w:fldChar w:fldCharType="separate"/>
        </w:r>
        <w:r w:rsidR="00762F13">
          <w:rPr>
            <w:rFonts w:ascii="Times New Roman" w:hAnsi="Times New Roman" w:cs="Times New Roman"/>
            <w:noProof/>
            <w:sz w:val="24"/>
            <w:szCs w:val="24"/>
          </w:rPr>
          <w:t>6</w:t>
        </w:r>
        <w:r w:rsidRPr="000D1EFC">
          <w:rPr>
            <w:rFonts w:ascii="Times New Roman" w:hAnsi="Times New Roman" w:cs="Times New Roman"/>
            <w:noProof/>
            <w:sz w:val="24"/>
            <w:szCs w:val="24"/>
          </w:rPr>
          <w:fldChar w:fldCharType="end"/>
        </w:r>
      </w:p>
    </w:sdtContent>
  </w:sdt>
  <w:p w:rsidR="006E682F" w:rsidRDefault="006E6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9EB"/>
    <w:rsid w:val="000129EB"/>
    <w:rsid w:val="000214E6"/>
    <w:rsid w:val="000B1EDC"/>
    <w:rsid w:val="000D1EFC"/>
    <w:rsid w:val="0010626A"/>
    <w:rsid w:val="0021549B"/>
    <w:rsid w:val="002D64CE"/>
    <w:rsid w:val="00363E64"/>
    <w:rsid w:val="006E682F"/>
    <w:rsid w:val="00762F13"/>
    <w:rsid w:val="00852B6B"/>
    <w:rsid w:val="00887F6C"/>
    <w:rsid w:val="008A1104"/>
    <w:rsid w:val="00936E80"/>
    <w:rsid w:val="00B62B65"/>
    <w:rsid w:val="00C60B78"/>
    <w:rsid w:val="00CD7804"/>
    <w:rsid w:val="00E418F8"/>
    <w:rsid w:val="00EA3CAE"/>
    <w:rsid w:val="00F23CA1"/>
    <w:rsid w:val="00F52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36BD"/>
  <w15:chartTrackingRefBased/>
  <w15:docId w15:val="{C4D148E4-E994-4AF9-A316-5CCBB750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82F"/>
  </w:style>
  <w:style w:type="paragraph" w:styleId="Footer">
    <w:name w:val="footer"/>
    <w:basedOn w:val="Normal"/>
    <w:link w:val="FooterChar"/>
    <w:uiPriority w:val="99"/>
    <w:unhideWhenUsed/>
    <w:rsid w:val="006E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82F"/>
  </w:style>
  <w:style w:type="character" w:styleId="Hyperlink">
    <w:name w:val="Hyperlink"/>
    <w:basedOn w:val="DefaultParagraphFont"/>
    <w:uiPriority w:val="99"/>
    <w:unhideWhenUsed/>
    <w:rsid w:val="00F52A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0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tf.org/2017/02/13/inequalities-in-womens-and-girls-health-in-sub-saharan-afric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sglobal.org/documents/10179/5808952/Report+Africa.pdf/a978fe4a-d076-468b-805e-2f05861822d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u.int/en/treaties/protocol-african-charter-human-and-peoples-rights-rights-women-afric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un.org/womenwatch/daw/cedaw/history.htm" TargetMode="External"/><Relationship Id="rId4" Type="http://schemas.openxmlformats.org/officeDocument/2006/relationships/footnotes" Target="footnotes.xml"/><Relationship Id="rId9" Type="http://schemas.openxmlformats.org/officeDocument/2006/relationships/hyperlink" Target="https://www.youtube.com/watch?v=AZl3m8-KOkQ&amp;t=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11</cp:revision>
  <dcterms:created xsi:type="dcterms:W3CDTF">2021-10-19T22:29:00Z</dcterms:created>
  <dcterms:modified xsi:type="dcterms:W3CDTF">2021-10-19T22:34:00Z</dcterms:modified>
</cp:coreProperties>
</file>